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9A" w:rsidRPr="00D4549A" w:rsidRDefault="003E21F4" w:rsidP="00D4549A">
      <w:pPr>
        <w:spacing w:beforeLines="100" w:before="312" w:afterLines="100" w:after="312" w:line="360" w:lineRule="auto"/>
        <w:ind w:leftChars="200" w:left="420" w:firstLineChars="0" w:firstLine="482"/>
        <w:jc w:val="center"/>
        <w:rPr>
          <w:b/>
          <w:bCs/>
          <w:color w:val="000000"/>
          <w:sz w:val="24"/>
          <w:szCs w:val="24"/>
        </w:rPr>
      </w:pPr>
      <w:r w:rsidRPr="003E21F4">
        <w:rPr>
          <w:b/>
          <w:color w:val="000000"/>
          <w:sz w:val="24"/>
          <w:szCs w:val="24"/>
        </w:rPr>
        <w:t>Supplementary Table 1</w:t>
      </w:r>
      <w:r w:rsidR="00D4549A" w:rsidRPr="00D4549A">
        <w:rPr>
          <w:b/>
          <w:color w:val="000000"/>
          <w:sz w:val="24"/>
          <w:szCs w:val="24"/>
        </w:rPr>
        <w:t>. Amount of missing data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33"/>
        <w:gridCol w:w="1559"/>
        <w:gridCol w:w="1701"/>
        <w:gridCol w:w="1701"/>
        <w:gridCol w:w="850"/>
      </w:tblGrid>
      <w:tr w:rsidR="00D4549A" w:rsidRPr="00D4549A" w:rsidTr="00043D35">
        <w:trPr>
          <w:trHeight w:val="227"/>
          <w:tblHeader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bCs/>
                <w:sz w:val="21"/>
              </w:rPr>
            </w:pPr>
            <w:r w:rsidRPr="00D4549A">
              <w:rPr>
                <w:bCs/>
                <w:sz w:val="21"/>
              </w:rPr>
              <w:t>Characteristic</w:t>
            </w:r>
          </w:p>
        </w:tc>
        <w:tc>
          <w:tcPr>
            <w:tcW w:w="1559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bCs/>
                <w:sz w:val="21"/>
              </w:rPr>
            </w:pPr>
            <w:r w:rsidRPr="00D4549A">
              <w:rPr>
                <w:bCs/>
                <w:sz w:val="21"/>
              </w:rPr>
              <w:t>Clinical group</w:t>
            </w:r>
          </w:p>
        </w:tc>
        <w:tc>
          <w:tcPr>
            <w:tcW w:w="1701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bCs/>
                <w:sz w:val="21"/>
              </w:rPr>
            </w:pPr>
            <w:r w:rsidRPr="00D4549A">
              <w:rPr>
                <w:bCs/>
                <w:sz w:val="21"/>
              </w:rPr>
              <w:t>Control group 1</w:t>
            </w:r>
          </w:p>
        </w:tc>
        <w:tc>
          <w:tcPr>
            <w:tcW w:w="1701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bCs/>
                <w:sz w:val="21"/>
              </w:rPr>
            </w:pPr>
            <w:r w:rsidRPr="00D4549A">
              <w:rPr>
                <w:bCs/>
                <w:sz w:val="21"/>
              </w:rPr>
              <w:t>Control group 2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bCs/>
                <w:i/>
                <w:iCs/>
                <w:sz w:val="21"/>
              </w:rPr>
            </w:pPr>
            <w:r w:rsidRPr="00D4549A">
              <w:rPr>
                <w:bCs/>
                <w:i/>
                <w:iCs/>
                <w:sz w:val="21"/>
              </w:rPr>
              <w:t>P</w:t>
            </w:r>
          </w:p>
        </w:tc>
      </w:tr>
      <w:tr w:rsidR="00D4549A" w:rsidRPr="00D4549A" w:rsidTr="00043D35">
        <w:trPr>
          <w:trHeight w:val="56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Group size (N)</w:t>
            </w:r>
          </w:p>
        </w:tc>
        <w:tc>
          <w:tcPr>
            <w:tcW w:w="1559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197</w:t>
            </w:r>
          </w:p>
        </w:tc>
        <w:tc>
          <w:tcPr>
            <w:tcW w:w="1701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183</w:t>
            </w:r>
          </w:p>
        </w:tc>
        <w:tc>
          <w:tcPr>
            <w:tcW w:w="1701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197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bCs/>
                <w:i/>
                <w:iCs/>
                <w:sz w:val="21"/>
              </w:rPr>
            </w:pP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  <w:vertAlign w:val="superscript"/>
              </w:rPr>
            </w:pPr>
            <w:r w:rsidRPr="00D4549A">
              <w:rPr>
                <w:sz w:val="21"/>
              </w:rPr>
              <w:t>Age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  <w:vertAlign w:val="superscript"/>
              </w:rPr>
            </w:pPr>
            <w:r w:rsidRPr="00D4549A">
              <w:rPr>
                <w:sz w:val="21"/>
              </w:rPr>
              <w:t>.317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Place of living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Education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Work status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Marital status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Kids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.767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Financial situation satisfaction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GDMS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Have you ever had thoughts of suicide?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Have you ever tried to take your own life?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SBQ-R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2 (1.0%)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.333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Mental disorders in family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bookmarkStart w:id="0" w:name="_Hlk62839468"/>
            <w:r w:rsidRPr="00D4549A">
              <w:rPr>
                <w:sz w:val="21"/>
              </w:rPr>
              <w:t>Have you ever been treated psychiatrically?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6 (3.0%)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5 (2.7%)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6 (3.0%)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bookmarkEnd w:id="0"/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proofErr w:type="spellStart"/>
            <w:r w:rsidRPr="00D4549A">
              <w:rPr>
                <w:sz w:val="21"/>
              </w:rPr>
              <w:t>Fagerstrom</w:t>
            </w:r>
            <w:proofErr w:type="spellEnd"/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AUDIT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.110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GSES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 (0.5%)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&gt; .999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KOP26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2 (1.0%)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.333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sz w:val="21"/>
              </w:rPr>
              <w:t>Mini COPE:</w:t>
            </w:r>
          </w:p>
        </w:tc>
        <w:tc>
          <w:tcPr>
            <w:tcW w:w="1559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1: Active coping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2: Planning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3: Positive reappraisal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4: Acceptance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5: Sense of humor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6: Turning to religion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7: Seeking emotional support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8: Seeking instrumental support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9: Dealing with something else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10: Denial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11: Venting of emotions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12: Use of psychoactive substances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13: Suppression of activities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  <w:tr w:rsidR="00D4549A" w:rsidRPr="00D4549A" w:rsidTr="00043D35">
        <w:trPr>
          <w:trHeight w:val="227"/>
          <w:jc w:val="center"/>
        </w:trPr>
        <w:tc>
          <w:tcPr>
            <w:tcW w:w="3833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14: Self-blame</w:t>
            </w:r>
          </w:p>
        </w:tc>
        <w:tc>
          <w:tcPr>
            <w:tcW w:w="1559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8 (4.1%)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3 (1.6%)</w:t>
            </w:r>
          </w:p>
        </w:tc>
        <w:tc>
          <w:tcPr>
            <w:tcW w:w="1701" w:type="dxa"/>
            <w:vAlign w:val="bottom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color w:val="000000"/>
                <w:sz w:val="21"/>
              </w:rPr>
              <w:t>0 (0.0%)</w:t>
            </w:r>
          </w:p>
        </w:tc>
        <w:tc>
          <w:tcPr>
            <w:tcW w:w="850" w:type="dxa"/>
            <w:vAlign w:val="center"/>
          </w:tcPr>
          <w:p w:rsidR="00D4549A" w:rsidRPr="00D4549A" w:rsidRDefault="00D4549A" w:rsidP="00D4549A">
            <w:pPr>
              <w:tabs>
                <w:tab w:val="left" w:pos="567"/>
              </w:tabs>
              <w:snapToGrid w:val="0"/>
              <w:ind w:firstLineChars="0" w:firstLine="0"/>
              <w:jc w:val="center"/>
              <w:rPr>
                <w:sz w:val="21"/>
              </w:rPr>
            </w:pPr>
            <w:r w:rsidRPr="00D4549A">
              <w:rPr>
                <w:sz w:val="21"/>
              </w:rPr>
              <w:t>.007</w:t>
            </w:r>
          </w:p>
        </w:tc>
      </w:tr>
    </w:tbl>
    <w:p w:rsidR="00D4549A" w:rsidRPr="00D4549A" w:rsidRDefault="00D4549A" w:rsidP="003E21F4">
      <w:pPr>
        <w:snapToGrid w:val="0"/>
        <w:ind w:firstLineChars="0" w:firstLine="0"/>
      </w:pPr>
      <w:r w:rsidRPr="00D4549A">
        <w:rPr>
          <w:i/>
        </w:rPr>
        <w:t>Note</w:t>
      </w:r>
      <w:r w:rsidRPr="00D4549A">
        <w:t>: Amount of missing data for each variable compared betwee</w:t>
      </w:r>
      <w:bookmarkStart w:id="1" w:name="_GoBack"/>
      <w:bookmarkEnd w:id="1"/>
      <w:r w:rsidRPr="00D4549A">
        <w:t>n groups with the Fisher exact test.</w:t>
      </w:r>
    </w:p>
    <w:sectPr w:rsidR="00D4549A" w:rsidRPr="00D45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29" w:rsidRDefault="00584729" w:rsidP="003E21F4">
      <w:pPr>
        <w:ind w:firstLine="420"/>
      </w:pPr>
      <w:r>
        <w:separator/>
      </w:r>
    </w:p>
  </w:endnote>
  <w:endnote w:type="continuationSeparator" w:id="0">
    <w:p w:rsidR="00584729" w:rsidRDefault="00584729" w:rsidP="003E21F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4" w:rsidRDefault="003E21F4">
    <w:pPr>
      <w:pStyle w:val="af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4" w:rsidRDefault="003E21F4">
    <w:pPr>
      <w:pStyle w:val="af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4" w:rsidRDefault="003E21F4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29" w:rsidRDefault="00584729" w:rsidP="003E21F4">
      <w:pPr>
        <w:ind w:firstLine="420"/>
      </w:pPr>
      <w:r>
        <w:separator/>
      </w:r>
    </w:p>
  </w:footnote>
  <w:footnote w:type="continuationSeparator" w:id="0">
    <w:p w:rsidR="00584729" w:rsidRDefault="00584729" w:rsidP="003E21F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4" w:rsidRDefault="003E21F4">
    <w:pPr>
      <w:pStyle w:val="af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4" w:rsidRDefault="003E21F4" w:rsidP="003E21F4">
    <w:pPr>
      <w:pStyle w:val="af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4" w:rsidRDefault="003E21F4">
    <w:pPr>
      <w:pStyle w:val="af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B766459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9A"/>
    <w:rsid w:val="00040B2E"/>
    <w:rsid w:val="000C33A8"/>
    <w:rsid w:val="000F54B3"/>
    <w:rsid w:val="00203A48"/>
    <w:rsid w:val="0036328C"/>
    <w:rsid w:val="003E21F4"/>
    <w:rsid w:val="003E3EB3"/>
    <w:rsid w:val="004B3D4E"/>
    <w:rsid w:val="00525272"/>
    <w:rsid w:val="00584729"/>
    <w:rsid w:val="005C3F13"/>
    <w:rsid w:val="007C1865"/>
    <w:rsid w:val="007F7B2B"/>
    <w:rsid w:val="00AA4595"/>
    <w:rsid w:val="00CB2F68"/>
    <w:rsid w:val="00D4549A"/>
    <w:rsid w:val="00D862BE"/>
    <w:rsid w:val="00F735E9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882ED-50D9-4C8C-8F11-0551F45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6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F8356F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8356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6F"/>
    <w:pPr>
      <w:keepNext/>
      <w:keepLines/>
      <w:numPr>
        <w:ilvl w:val="5"/>
        <w:numId w:val="1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6F"/>
    <w:pPr>
      <w:keepNext/>
      <w:keepLines/>
      <w:numPr>
        <w:ilvl w:val="6"/>
        <w:numId w:val="12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6F"/>
    <w:pPr>
      <w:keepNext/>
      <w:keepLines/>
      <w:numPr>
        <w:ilvl w:val="7"/>
        <w:numId w:val="12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6F"/>
    <w:pPr>
      <w:keepNext/>
      <w:keepLines/>
      <w:numPr>
        <w:ilvl w:val="8"/>
        <w:numId w:val="12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F8356F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F8356F"/>
    <w:pPr>
      <w:ind w:firstLineChars="0" w:firstLine="0"/>
    </w:pPr>
    <w:rPr>
      <w:rFonts w:eastAsia="宋体"/>
      <w:b/>
      <w:noProof/>
    </w:rPr>
  </w:style>
  <w:style w:type="character" w:customStyle="1" w:styleId="10">
    <w:name w:val="标题 1 字符"/>
    <w:aliases w:val="一级标题 字符"/>
    <w:link w:val="1"/>
    <w:uiPriority w:val="1"/>
    <w:rsid w:val="00F8356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F8356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F8356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F8356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835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835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8356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8356F"/>
    <w:rPr>
      <w:rFonts w:asciiTheme="majorHAnsi" w:eastAsiaTheme="majorEastAsia" w:hAnsiTheme="majorHAnsi" w:cstheme="majorBidi"/>
      <w:szCs w:val="21"/>
    </w:rPr>
  </w:style>
  <w:style w:type="paragraph" w:customStyle="1" w:styleId="References">
    <w:name w:val="References"/>
    <w:basedOn w:val="a"/>
    <w:link w:val="References0"/>
    <w:autoRedefine/>
    <w:qFormat/>
    <w:rsid w:val="00F8356F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56F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3">
    <w:name w:val="版权信息"/>
    <w:basedOn w:val="a"/>
    <w:autoRedefine/>
    <w:qFormat/>
    <w:rsid w:val="00F8356F"/>
    <w:pPr>
      <w:ind w:firstLineChars="0" w:firstLine="0"/>
    </w:pPr>
  </w:style>
  <w:style w:type="paragraph" w:customStyle="1" w:styleId="a4">
    <w:name w:val="表题"/>
    <w:basedOn w:val="a"/>
    <w:autoRedefine/>
    <w:qFormat/>
    <w:rsid w:val="00F8356F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5">
    <w:name w:val="表注"/>
    <w:basedOn w:val="a"/>
    <w:autoRedefine/>
    <w:qFormat/>
    <w:rsid w:val="00F8356F"/>
    <w:pPr>
      <w:snapToGrid w:val="0"/>
      <w:ind w:firstLineChars="0" w:firstLine="0"/>
    </w:pPr>
  </w:style>
  <w:style w:type="paragraph" w:customStyle="1" w:styleId="a6">
    <w:name w:val="参考文献"/>
    <w:basedOn w:val="a"/>
    <w:autoRedefine/>
    <w:qFormat/>
    <w:rsid w:val="00F8356F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7">
    <w:name w:val="Hyperlink"/>
    <w:uiPriority w:val="99"/>
    <w:unhideWhenUsed/>
    <w:rsid w:val="00F8356F"/>
    <w:rPr>
      <w:color w:val="0563C1"/>
      <w:u w:val="single"/>
    </w:rPr>
  </w:style>
  <w:style w:type="paragraph" w:customStyle="1" w:styleId="a8">
    <w:name w:val="稿件类型"/>
    <w:basedOn w:val="a"/>
    <w:autoRedefine/>
    <w:qFormat/>
    <w:rsid w:val="00F8356F"/>
    <w:pPr>
      <w:ind w:firstLineChars="0" w:firstLine="0"/>
      <w:jc w:val="left"/>
    </w:pPr>
    <w:rPr>
      <w:rFonts w:eastAsia="宋体" w:cstheme="minorBidi"/>
      <w:i/>
      <w:sz w:val="20"/>
    </w:rPr>
  </w:style>
  <w:style w:type="paragraph" w:customStyle="1" w:styleId="a9">
    <w:name w:val="关键词"/>
    <w:basedOn w:val="Keywords"/>
    <w:autoRedefine/>
    <w:qFormat/>
    <w:rsid w:val="00F8356F"/>
    <w:rPr>
      <w:rFonts w:eastAsia="Times New Roman"/>
      <w:b w:val="0"/>
    </w:rPr>
  </w:style>
  <w:style w:type="character" w:styleId="aa">
    <w:name w:val="line number"/>
    <w:uiPriority w:val="99"/>
    <w:semiHidden/>
    <w:unhideWhenUsed/>
    <w:rsid w:val="00F8356F"/>
  </w:style>
  <w:style w:type="paragraph" w:customStyle="1" w:styleId="ab">
    <w:name w:val="机构信息"/>
    <w:basedOn w:val="a"/>
    <w:link w:val="ac"/>
    <w:autoRedefine/>
    <w:qFormat/>
    <w:rsid w:val="00F8356F"/>
    <w:pPr>
      <w:ind w:firstLineChars="0" w:firstLine="0"/>
    </w:pPr>
    <w:rPr>
      <w:rFonts w:cstheme="minorBidi"/>
      <w:i/>
    </w:rPr>
  </w:style>
  <w:style w:type="character" w:customStyle="1" w:styleId="ac">
    <w:name w:val="机构信息 字符"/>
    <w:link w:val="ab"/>
    <w:rsid w:val="00F8356F"/>
    <w:rPr>
      <w:rFonts w:ascii="Times New Roman" w:eastAsia="Times New Roman" w:hAnsi="Times New Roman"/>
      <w:i/>
      <w:szCs w:val="21"/>
    </w:rPr>
  </w:style>
  <w:style w:type="paragraph" w:customStyle="1" w:styleId="ad">
    <w:name w:val="接收日期"/>
    <w:basedOn w:val="a"/>
    <w:autoRedefine/>
    <w:qFormat/>
    <w:rsid w:val="00F8356F"/>
    <w:pPr>
      <w:ind w:firstLineChars="0" w:firstLine="0"/>
    </w:pPr>
  </w:style>
  <w:style w:type="paragraph" w:styleId="ae">
    <w:name w:val="List Paragraph"/>
    <w:basedOn w:val="a"/>
    <w:uiPriority w:val="1"/>
    <w:qFormat/>
    <w:rsid w:val="00F8356F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356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caption"/>
    <w:basedOn w:val="a"/>
    <w:next w:val="a"/>
    <w:autoRedefine/>
    <w:uiPriority w:val="35"/>
    <w:unhideWhenUsed/>
    <w:qFormat/>
    <w:rsid w:val="00F8356F"/>
    <w:pPr>
      <w:ind w:firstLineChars="0" w:firstLine="0"/>
    </w:pPr>
  </w:style>
  <w:style w:type="paragraph" w:customStyle="1" w:styleId="af2">
    <w:name w:val="通讯作者"/>
    <w:basedOn w:val="a"/>
    <w:autoRedefine/>
    <w:qFormat/>
    <w:rsid w:val="00F8356F"/>
    <w:pPr>
      <w:ind w:firstLineChars="0" w:firstLine="0"/>
    </w:pPr>
  </w:style>
  <w:style w:type="paragraph" w:customStyle="1" w:styleId="af3">
    <w:name w:val="图注"/>
    <w:basedOn w:val="a"/>
    <w:autoRedefine/>
    <w:qFormat/>
    <w:rsid w:val="00F8356F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4">
    <w:name w:val="文章标题"/>
    <w:basedOn w:val="a"/>
    <w:link w:val="af5"/>
    <w:autoRedefine/>
    <w:qFormat/>
    <w:rsid w:val="00F8356F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F8356F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F8356F"/>
  </w:style>
  <w:style w:type="paragraph" w:styleId="af6">
    <w:name w:val="footer"/>
    <w:basedOn w:val="a"/>
    <w:link w:val="af7"/>
    <w:uiPriority w:val="99"/>
    <w:unhideWhenUsed/>
    <w:rsid w:val="00F8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link w:val="af6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8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摘要"/>
    <w:basedOn w:val="Abstract"/>
    <w:autoRedefine/>
    <w:qFormat/>
    <w:rsid w:val="00F8356F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F8356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F8356F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F8356F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F8356F"/>
    <w:pPr>
      <w:ind w:firstLineChars="0" w:firstLine="0"/>
    </w:pPr>
    <w:rPr>
      <w:rFonts w:cstheme="minorBidi"/>
    </w:rPr>
  </w:style>
  <w:style w:type="table" w:customStyle="1" w:styleId="12">
    <w:name w:val="网格型1"/>
    <w:basedOn w:val="a1"/>
    <w:next w:val="aff0"/>
    <w:uiPriority w:val="39"/>
    <w:rsid w:val="00D4549A"/>
    <w:rPr>
      <w:rFonts w:ascii="Calibri" w:hAnsi="Calibri" w:cs="Calibri"/>
      <w:kern w:val="0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39"/>
    <w:rsid w:val="00D4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</dc:creator>
  <cp:keywords/>
  <dc:description/>
  <cp:lastModifiedBy>Blythe</cp:lastModifiedBy>
  <cp:revision>2</cp:revision>
  <dcterms:created xsi:type="dcterms:W3CDTF">2021-03-25T08:08:00Z</dcterms:created>
  <dcterms:modified xsi:type="dcterms:W3CDTF">2021-03-25T08:12:00Z</dcterms:modified>
</cp:coreProperties>
</file>